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2361D" w:rsidRPr="00713F77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361D" w:rsidRPr="00713F77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</w:pPr>
      <w:r w:rsidRPr="00B55CAB">
        <w:rPr>
          <w:sz w:val="28"/>
          <w:szCs w:val="28"/>
        </w:rPr>
        <w:t xml:space="preserve">о заключении Агентского договора по приему документов </w:t>
      </w:r>
      <w:proofErr w:type="gramStart"/>
      <w:r w:rsidRPr="00B55CAB">
        <w:rPr>
          <w:sz w:val="28"/>
          <w:szCs w:val="28"/>
        </w:rPr>
        <w:t>от</w:t>
      </w:r>
      <w:proofErr w:type="gramEnd"/>
      <w:r w:rsidRPr="00B55CAB">
        <w:rPr>
          <w:sz w:val="28"/>
          <w:szCs w:val="28"/>
        </w:rPr>
        <w:br/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заявителей на выполнение кадастровых работ</w:t>
      </w:r>
    </w:p>
    <w:p w:rsidR="00B55CAB" w:rsidRPr="00713F77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0"/>
          <w:szCs w:val="20"/>
        </w:rPr>
      </w:pP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1F4855" w:rsidRPr="00B55CAB">
        <w:rPr>
          <w:color w:val="auto"/>
          <w:sz w:val="24"/>
          <w:szCs w:val="24"/>
        </w:rPr>
        <w:t>Муниципально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автономно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учреждени</w:t>
      </w:r>
      <w:r w:rsidR="00B55CAB">
        <w:rPr>
          <w:color w:val="auto"/>
          <w:sz w:val="24"/>
          <w:szCs w:val="24"/>
        </w:rPr>
        <w:t>я</w:t>
      </w:r>
      <w:r w:rsidR="001F4855" w:rsidRPr="00B55CAB">
        <w:rPr>
          <w:color w:val="auto"/>
          <w:sz w:val="24"/>
          <w:szCs w:val="24"/>
        </w:rPr>
        <w:t xml:space="preserve"> </w:t>
      </w:r>
      <w:r w:rsidR="00B65531">
        <w:rPr>
          <w:color w:val="auto"/>
          <w:sz w:val="24"/>
          <w:szCs w:val="24"/>
        </w:rPr>
        <w:t>Волгодонского района</w:t>
      </w:r>
      <w:r w:rsidR="001F4855" w:rsidRPr="00B55CAB">
        <w:rPr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  <w:r w:rsidRPr="00B55CAB">
        <w:rPr>
          <w:color w:val="auto"/>
          <w:sz w:val="24"/>
          <w:szCs w:val="24"/>
        </w:rPr>
        <w:t xml:space="preserve">(далее - </w:t>
      </w:r>
      <w:r w:rsidR="001F4855" w:rsidRPr="00B55CAB">
        <w:rPr>
          <w:color w:val="auto"/>
          <w:sz w:val="24"/>
          <w:szCs w:val="24"/>
        </w:rPr>
        <w:t>МАУ</w:t>
      </w:r>
      <w:r w:rsidR="00B55CAB">
        <w:rPr>
          <w:color w:val="auto"/>
          <w:sz w:val="24"/>
          <w:szCs w:val="24"/>
        </w:rPr>
        <w:t xml:space="preserve"> </w:t>
      </w:r>
      <w:r w:rsidR="00B65531">
        <w:rPr>
          <w:color w:val="auto"/>
          <w:sz w:val="24"/>
          <w:szCs w:val="24"/>
        </w:rPr>
        <w:t>ВР «</w:t>
      </w:r>
      <w:r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Pr="00B55CAB">
        <w:rPr>
          <w:color w:val="auto"/>
          <w:sz w:val="24"/>
          <w:szCs w:val="24"/>
        </w:rPr>
        <w:t xml:space="preserve">), в лице директора </w:t>
      </w:r>
      <w:r w:rsidR="00B65531">
        <w:rPr>
          <w:color w:val="auto"/>
          <w:sz w:val="24"/>
          <w:szCs w:val="24"/>
        </w:rPr>
        <w:t>Морозовой С.В.</w:t>
      </w:r>
      <w:r w:rsidR="00B55CAB">
        <w:rPr>
          <w:color w:val="auto"/>
          <w:sz w:val="24"/>
          <w:szCs w:val="24"/>
        </w:rPr>
        <w:t>,</w:t>
      </w:r>
      <w:r w:rsidRPr="00B55CAB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</w:t>
      </w:r>
      <w:proofErr w:type="gramEnd"/>
      <w:r w:rsidRPr="00B55CAB">
        <w:rPr>
          <w:color w:val="auto"/>
          <w:sz w:val="24"/>
          <w:szCs w:val="24"/>
        </w:rPr>
        <w:t xml:space="preserve">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r w:rsidR="0092361D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="0092361D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</w:t>
      </w:r>
      <w:proofErr w:type="gramEnd"/>
      <w:r w:rsidRPr="00B55CAB">
        <w:rPr>
          <w:sz w:val="24"/>
          <w:szCs w:val="24"/>
        </w:rPr>
        <w:t xml:space="preserve"> Федерации от 22.12.2012 .№1376.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МАУ </w:t>
      </w:r>
      <w:r w:rsidR="006314BB" w:rsidRPr="00B55CAB">
        <w:rPr>
          <w:color w:val="auto"/>
          <w:sz w:val="24"/>
          <w:szCs w:val="24"/>
        </w:rPr>
        <w:t>МФЦ</w:t>
      </w:r>
      <w:r w:rsidR="006314BB" w:rsidRPr="00B55CAB">
        <w:rPr>
          <w:sz w:val="24"/>
          <w:szCs w:val="24"/>
        </w:rPr>
        <w:t xml:space="preserve"> 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A57E06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 xml:space="preserve"> </w:t>
      </w:r>
      <w:r w:rsidR="00637BA4" w:rsidRPr="00B55CAB">
        <w:rPr>
          <w:sz w:val="24"/>
          <w:szCs w:val="24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="00637BA4"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proofErr w:type="gramEnd"/>
      <w:r w:rsidRPr="00B55CAB">
        <w:rPr>
          <w:sz w:val="24"/>
          <w:szCs w:val="24"/>
        </w:rPr>
        <w:t xml:space="preserve">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r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Pr="00B55CAB">
        <w:rPr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B65531">
        <w:rPr>
          <w:color w:val="auto"/>
          <w:sz w:val="24"/>
          <w:szCs w:val="24"/>
        </w:rPr>
        <w:t xml:space="preserve">с </w:t>
      </w:r>
      <w:r w:rsidR="00B65531" w:rsidRPr="00B65531">
        <w:rPr>
          <w:color w:val="auto"/>
          <w:sz w:val="24"/>
          <w:szCs w:val="24"/>
        </w:rPr>
        <w:t>8</w:t>
      </w:r>
      <w:r w:rsidRPr="00B65531">
        <w:rPr>
          <w:color w:val="auto"/>
          <w:sz w:val="24"/>
          <w:szCs w:val="24"/>
        </w:rPr>
        <w:t xml:space="preserve"> до </w:t>
      </w:r>
      <w:r w:rsidR="0092361D" w:rsidRPr="00B65531">
        <w:rPr>
          <w:color w:val="auto"/>
          <w:sz w:val="24"/>
          <w:szCs w:val="24"/>
        </w:rPr>
        <w:t>1</w:t>
      </w:r>
      <w:r w:rsidR="00B65531" w:rsidRPr="00B65531">
        <w:rPr>
          <w:color w:val="auto"/>
          <w:sz w:val="24"/>
          <w:szCs w:val="24"/>
        </w:rPr>
        <w:t>5</w:t>
      </w:r>
      <w:r w:rsidRPr="00B65531">
        <w:rPr>
          <w:color w:val="auto"/>
          <w:sz w:val="24"/>
          <w:szCs w:val="24"/>
        </w:rPr>
        <w:t xml:space="preserve"> часов, </w:t>
      </w:r>
      <w:r w:rsidR="0092361D" w:rsidRPr="00B65531">
        <w:rPr>
          <w:color w:val="auto"/>
          <w:sz w:val="24"/>
          <w:szCs w:val="24"/>
        </w:rPr>
        <w:t>перерыв</w:t>
      </w:r>
      <w:r w:rsidRPr="00B65531">
        <w:rPr>
          <w:color w:val="auto"/>
          <w:sz w:val="24"/>
          <w:szCs w:val="24"/>
        </w:rPr>
        <w:t xml:space="preserve"> с 12 до 1</w:t>
      </w:r>
      <w:r w:rsidR="00B65531" w:rsidRPr="00B65531">
        <w:rPr>
          <w:color w:val="auto"/>
          <w:sz w:val="24"/>
          <w:szCs w:val="24"/>
        </w:rPr>
        <w:t>3</w:t>
      </w:r>
      <w:r w:rsidRPr="00B65531">
        <w:rPr>
          <w:color w:val="auto"/>
          <w:sz w:val="24"/>
          <w:szCs w:val="24"/>
        </w:rPr>
        <w:t>.</w:t>
      </w:r>
      <w:r w:rsidR="00B65531" w:rsidRPr="00B65531">
        <w:rPr>
          <w:color w:val="auto"/>
          <w:sz w:val="24"/>
          <w:szCs w:val="24"/>
        </w:rPr>
        <w:t>00</w:t>
      </w:r>
      <w:r w:rsidRPr="00B65531">
        <w:rPr>
          <w:color w:val="auto"/>
          <w:sz w:val="24"/>
          <w:szCs w:val="24"/>
        </w:rPr>
        <w:t xml:space="preserve"> часов)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r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r w:rsidRPr="00B55CAB">
        <w:rPr>
          <w:color w:val="auto"/>
          <w:sz w:val="24"/>
          <w:szCs w:val="24"/>
        </w:rPr>
        <w:t>:</w:t>
      </w:r>
      <w:r w:rsidR="001F4855" w:rsidRPr="00B55CAB">
        <w:rPr>
          <w:color w:val="auto"/>
          <w:sz w:val="24"/>
          <w:szCs w:val="24"/>
        </w:rPr>
        <w:t xml:space="preserve"> 34</w:t>
      </w:r>
      <w:r w:rsidR="00B65531">
        <w:rPr>
          <w:color w:val="auto"/>
          <w:sz w:val="24"/>
          <w:szCs w:val="24"/>
        </w:rPr>
        <w:t>7351</w:t>
      </w:r>
      <w:r w:rsidR="001F4855" w:rsidRPr="00B55CAB">
        <w:rPr>
          <w:color w:val="auto"/>
          <w:sz w:val="24"/>
          <w:szCs w:val="24"/>
        </w:rPr>
        <w:t xml:space="preserve">, Ростовская обл., </w:t>
      </w:r>
      <w:r w:rsidR="00B65531">
        <w:rPr>
          <w:color w:val="auto"/>
          <w:sz w:val="24"/>
          <w:szCs w:val="24"/>
        </w:rPr>
        <w:t>Волгодонской район, ст. Романовская, пер. Кожанова д. 45</w:t>
      </w:r>
      <w:r w:rsidR="0092361D">
        <w:rPr>
          <w:color w:val="auto"/>
          <w:sz w:val="24"/>
          <w:szCs w:val="24"/>
        </w:rPr>
        <w:t>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B65531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B65531">
        <w:rPr>
          <w:color w:val="auto"/>
          <w:sz w:val="24"/>
          <w:szCs w:val="24"/>
        </w:rPr>
        <w:t>–</w:t>
      </w:r>
      <w:r w:rsidRPr="000F49EC">
        <w:rPr>
          <w:color w:val="auto"/>
          <w:sz w:val="24"/>
          <w:szCs w:val="24"/>
        </w:rPr>
        <w:t xml:space="preserve"> </w:t>
      </w:r>
      <w:r w:rsidR="00B65531">
        <w:rPr>
          <w:color w:val="auto"/>
          <w:sz w:val="24"/>
          <w:szCs w:val="24"/>
        </w:rPr>
        <w:t>МАУ ВР «МФЦ»</w:t>
      </w:r>
      <w:r w:rsidRPr="000F49EC">
        <w:rPr>
          <w:color w:val="auto"/>
          <w:sz w:val="24"/>
          <w:szCs w:val="24"/>
        </w:rPr>
        <w:t>, указан</w:t>
      </w:r>
      <w:r w:rsidR="00B65531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в Приложении №2.</w:t>
      </w:r>
    </w:p>
    <w:p w:rsidR="00B65531" w:rsidRPr="00B65531" w:rsidRDefault="00637BA4" w:rsidP="00234B3C">
      <w:pPr>
        <w:pStyle w:val="25"/>
        <w:framePr w:w="10382" w:h="14071" w:hRule="exact" w:wrap="none" w:vAnchor="page" w:hAnchor="page" w:x="984" w:y="1218"/>
        <w:widowControl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09"/>
        <w:rPr>
          <w:rFonts w:eastAsia="Calibri"/>
          <w:color w:val="auto"/>
          <w:sz w:val="24"/>
          <w:szCs w:val="24"/>
          <w:lang w:eastAsia="en-US"/>
        </w:rPr>
      </w:pPr>
      <w:r w:rsidRPr="00234B3C">
        <w:rPr>
          <w:sz w:val="24"/>
          <w:szCs w:val="24"/>
        </w:rPr>
        <w:t xml:space="preserve">Реквизиты </w:t>
      </w:r>
      <w:r w:rsidR="001F4855" w:rsidRPr="00234B3C">
        <w:rPr>
          <w:sz w:val="24"/>
          <w:szCs w:val="24"/>
        </w:rPr>
        <w:t>Муниципально</w:t>
      </w:r>
      <w:r w:rsidR="000F49EC" w:rsidRPr="00234B3C">
        <w:rPr>
          <w:sz w:val="24"/>
          <w:szCs w:val="24"/>
        </w:rPr>
        <w:t>го автономного</w:t>
      </w:r>
      <w:r w:rsidR="001F4855" w:rsidRPr="00234B3C">
        <w:rPr>
          <w:sz w:val="24"/>
          <w:szCs w:val="24"/>
        </w:rPr>
        <w:t xml:space="preserve"> учреждени</w:t>
      </w:r>
      <w:r w:rsidR="000F49EC" w:rsidRPr="00234B3C">
        <w:rPr>
          <w:sz w:val="24"/>
          <w:szCs w:val="24"/>
        </w:rPr>
        <w:t>я</w:t>
      </w:r>
      <w:r w:rsidR="001F4855" w:rsidRPr="00234B3C">
        <w:rPr>
          <w:sz w:val="24"/>
          <w:szCs w:val="24"/>
        </w:rPr>
        <w:t xml:space="preserve"> </w:t>
      </w:r>
      <w:r w:rsidR="00234B3C" w:rsidRPr="00234B3C">
        <w:rPr>
          <w:sz w:val="24"/>
          <w:szCs w:val="24"/>
        </w:rPr>
        <w:t>Волгодонского района</w:t>
      </w:r>
      <w:r w:rsidR="001F4855" w:rsidRPr="00234B3C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  <w:r w:rsidR="00234B3C" w:rsidRPr="00234B3C">
        <w:rPr>
          <w:sz w:val="24"/>
          <w:szCs w:val="24"/>
        </w:rPr>
        <w:t xml:space="preserve"> </w:t>
      </w:r>
      <w:r w:rsidR="00234B3C">
        <w:rPr>
          <w:sz w:val="24"/>
          <w:szCs w:val="24"/>
        </w:rPr>
        <w:t xml:space="preserve">и </w:t>
      </w:r>
      <w:r w:rsidRPr="00234B3C">
        <w:rPr>
          <w:sz w:val="24"/>
          <w:szCs w:val="24"/>
        </w:rPr>
        <w:t xml:space="preserve">местонахождение (почтовый адрес): </w:t>
      </w:r>
      <w:r w:rsidRPr="00234B3C">
        <w:rPr>
          <w:color w:val="auto"/>
          <w:sz w:val="24"/>
          <w:szCs w:val="24"/>
        </w:rPr>
        <w:t xml:space="preserve">Российская Федерация, </w:t>
      </w:r>
      <w:r w:rsidR="001F4855" w:rsidRPr="00234B3C">
        <w:rPr>
          <w:color w:val="auto"/>
          <w:sz w:val="24"/>
          <w:szCs w:val="24"/>
        </w:rPr>
        <w:t>34</w:t>
      </w:r>
      <w:r w:rsidR="00B65531" w:rsidRPr="00234B3C">
        <w:rPr>
          <w:color w:val="auto"/>
          <w:sz w:val="24"/>
          <w:szCs w:val="24"/>
        </w:rPr>
        <w:t>7351</w:t>
      </w:r>
      <w:r w:rsidR="001F4855" w:rsidRPr="00234B3C">
        <w:rPr>
          <w:color w:val="auto"/>
          <w:sz w:val="24"/>
          <w:szCs w:val="24"/>
        </w:rPr>
        <w:t>, Ростовская обл.,</w:t>
      </w:r>
      <w:r w:rsidR="00B65531" w:rsidRPr="00234B3C">
        <w:rPr>
          <w:color w:val="auto"/>
          <w:sz w:val="24"/>
          <w:szCs w:val="24"/>
        </w:rPr>
        <w:t xml:space="preserve"> Волгодонской район, ст. Романовская, пер. Кожанова д. 45;</w:t>
      </w:r>
      <w:r w:rsidRPr="00234B3C">
        <w:rPr>
          <w:color w:val="auto"/>
          <w:sz w:val="24"/>
          <w:szCs w:val="24"/>
        </w:rPr>
        <w:t xml:space="preserve"> </w:t>
      </w:r>
      <w:r w:rsidR="001F4855" w:rsidRPr="00234B3C">
        <w:rPr>
          <w:color w:val="auto"/>
          <w:sz w:val="24"/>
          <w:szCs w:val="24"/>
        </w:rPr>
        <w:t>телефон 8(863</w:t>
      </w:r>
      <w:r w:rsidR="00B65531" w:rsidRPr="00234B3C">
        <w:rPr>
          <w:color w:val="auto"/>
          <w:sz w:val="24"/>
          <w:szCs w:val="24"/>
        </w:rPr>
        <w:t>94</w:t>
      </w:r>
      <w:r w:rsidR="001F4855" w:rsidRPr="00234B3C">
        <w:rPr>
          <w:color w:val="auto"/>
          <w:sz w:val="24"/>
          <w:szCs w:val="24"/>
        </w:rPr>
        <w:t xml:space="preserve">) </w:t>
      </w:r>
      <w:r w:rsidR="00B65531" w:rsidRPr="00234B3C">
        <w:rPr>
          <w:color w:val="auto"/>
          <w:sz w:val="24"/>
          <w:szCs w:val="24"/>
        </w:rPr>
        <w:t>7-00-25</w:t>
      </w:r>
      <w:r w:rsidRPr="00234B3C">
        <w:rPr>
          <w:color w:val="auto"/>
          <w:sz w:val="24"/>
          <w:szCs w:val="24"/>
        </w:rPr>
        <w:t>;</w:t>
      </w:r>
      <w:r w:rsidR="00234B3C" w:rsidRPr="00234B3C">
        <w:rPr>
          <w:color w:val="auto"/>
          <w:sz w:val="24"/>
          <w:szCs w:val="24"/>
        </w:rPr>
        <w:t xml:space="preserve">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ИНН/КПП 6107009381/</w:t>
      </w:r>
      <w:bookmarkStart w:id="0" w:name="_GoBack"/>
      <w:bookmarkEnd w:id="0"/>
      <w:r w:rsidR="00B65531" w:rsidRPr="00B65531">
        <w:rPr>
          <w:rFonts w:eastAsia="Calibri"/>
          <w:color w:val="auto"/>
          <w:sz w:val="24"/>
          <w:szCs w:val="24"/>
          <w:lang w:eastAsia="en-US"/>
        </w:rPr>
        <w:t>610701001;ОГРН 1116174003692;</w:t>
      </w:r>
      <w:r w:rsidR="00B65531" w:rsidRPr="00234B3C">
        <w:rPr>
          <w:rFonts w:eastAsia="Calibri"/>
          <w:color w:val="auto"/>
          <w:lang w:eastAsia="en-US"/>
        </w:rPr>
        <w:t xml:space="preserve">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л/с 30586Щ46050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Казначейский счет 03234643606120005800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ЕКС 40102810845370000050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БИК 016015102</w:t>
      </w:r>
      <w:r w:rsidR="00B65531" w:rsidRPr="00234B3C">
        <w:rPr>
          <w:rFonts w:eastAsia="Calibri"/>
          <w:color w:val="auto"/>
          <w:lang w:eastAsia="en-US"/>
        </w:rPr>
        <w:t xml:space="preserve">;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Банк Отделение Ростов-на-Дону Банка России//УФК по</w:t>
      </w:r>
      <w:r w:rsidR="00B65531" w:rsidRPr="00234B3C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65531" w:rsidRPr="00B65531">
        <w:rPr>
          <w:rFonts w:eastAsia="Calibri"/>
          <w:color w:val="auto"/>
          <w:sz w:val="24"/>
          <w:szCs w:val="24"/>
          <w:lang w:eastAsia="en-US"/>
        </w:rPr>
        <w:t>Ростовской области г. Ростов-на-Дону</w:t>
      </w:r>
    </w:p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B65531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B65531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B65531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197313" w:rsidRPr="00B55CAB">
        <w:rPr>
          <w:color w:val="auto"/>
          <w:sz w:val="24"/>
          <w:szCs w:val="24"/>
        </w:rPr>
        <w:t>М</w:t>
      </w:r>
      <w:r w:rsidR="000F49EC">
        <w:rPr>
          <w:color w:val="auto"/>
          <w:sz w:val="24"/>
          <w:szCs w:val="24"/>
        </w:rPr>
        <w:t xml:space="preserve">АУ </w:t>
      </w:r>
      <w:r w:rsidR="00B65531">
        <w:rPr>
          <w:color w:val="auto"/>
          <w:sz w:val="24"/>
          <w:szCs w:val="24"/>
        </w:rPr>
        <w:t>ВР «</w:t>
      </w:r>
      <w:proofErr w:type="spellStart"/>
      <w:r w:rsidRPr="00B55CAB">
        <w:rPr>
          <w:color w:val="auto"/>
          <w:sz w:val="24"/>
          <w:szCs w:val="24"/>
        </w:rPr>
        <w:t>МФЦ</w:t>
      </w:r>
      <w:r w:rsidR="00B65531">
        <w:rPr>
          <w:color w:val="auto"/>
          <w:sz w:val="24"/>
          <w:szCs w:val="24"/>
        </w:rPr>
        <w:t>»</w:t>
      </w:r>
      <w:proofErr w:type="spellEnd"/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B65531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0F49EC" w:rsidRDefault="00197313" w:rsidP="00B65531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F6565F" w:rsidRPr="00B55CAB" w:rsidRDefault="00197313" w:rsidP="00B65531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М</w:t>
      </w:r>
      <w:r w:rsidR="000F49EC">
        <w:rPr>
          <w:sz w:val="24"/>
          <w:szCs w:val="24"/>
        </w:rPr>
        <w:t xml:space="preserve">АУ </w:t>
      </w:r>
      <w:r w:rsidR="00B65531">
        <w:rPr>
          <w:sz w:val="24"/>
          <w:szCs w:val="24"/>
        </w:rPr>
        <w:t xml:space="preserve"> ВР «</w:t>
      </w:r>
      <w:proofErr w:type="spellStart"/>
      <w:r w:rsidR="000F49EC">
        <w:rPr>
          <w:sz w:val="24"/>
          <w:szCs w:val="24"/>
        </w:rPr>
        <w:t>МФЦ</w:t>
      </w:r>
      <w:r w:rsidR="00B65531">
        <w:rPr>
          <w:sz w:val="24"/>
          <w:szCs w:val="24"/>
        </w:rPr>
        <w:t>»</w:t>
      </w:r>
      <w:proofErr w:type="spellEnd"/>
    </w:p>
    <w:p w:rsidR="005E0D56" w:rsidRPr="00B55CAB" w:rsidRDefault="005E0D56" w:rsidP="00B65531">
      <w:pPr>
        <w:pStyle w:val="25"/>
        <w:shd w:val="clear" w:color="auto" w:fill="auto"/>
        <w:spacing w:before="0" w:line="254" w:lineRule="exact"/>
        <w:ind w:right="3060"/>
        <w:jc w:val="righ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6565F" w:rsidRPr="00B55CAB" w:rsidRDefault="00B65531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Место оказания услуги</w:t>
      </w:r>
      <w:r w:rsidR="00637BA4" w:rsidRPr="00B55CAB">
        <w:rPr>
          <w:sz w:val="24"/>
          <w:szCs w:val="24"/>
        </w:rPr>
        <w:t>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gram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gramEnd"/>
            <w:r w:rsidRPr="00B55CAB">
              <w:rPr>
                <w:rStyle w:val="29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B65531">
        <w:trPr>
          <w:trHeight w:hRule="exact" w:val="1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B65531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ВР «МФЦ»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B65531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Романовская, пер. Кожанова д. 45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B65531" w:rsidP="005E0D56">
            <w:pPr>
              <w:pStyle w:val="25"/>
              <w:shd w:val="clear" w:color="auto" w:fill="auto"/>
              <w:spacing w:before="0"/>
              <w:jc w:val="left"/>
            </w:pPr>
            <w:r>
              <w:t>Пн.-</w:t>
            </w:r>
            <w:r w:rsidR="000F49EC" w:rsidRPr="000F49EC">
              <w:t xml:space="preserve"> Пт.</w:t>
            </w:r>
            <w:proofErr w:type="gramStart"/>
            <w:r w:rsidR="000F49EC" w:rsidRPr="000F49EC">
              <w:t xml:space="preserve"> :</w:t>
            </w:r>
            <w:proofErr w:type="gramEnd"/>
            <w:r w:rsidR="000F49EC" w:rsidRPr="000F49EC">
              <w:t> 08.00 — 1</w:t>
            </w:r>
            <w:r>
              <w:t>6</w:t>
            </w:r>
            <w:r w:rsidR="000F49EC" w:rsidRPr="000F49EC">
              <w:t>.00</w:t>
            </w:r>
          </w:p>
          <w:p w:rsidR="000F49EC" w:rsidRPr="000F49EC" w:rsidRDefault="000F49EC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49EC">
              <w:rPr>
                <w:rFonts w:ascii="Times New Roman" w:eastAsia="Times New Roman" w:hAnsi="Times New Roman" w:cs="Times New Roman"/>
              </w:rPr>
              <w:t>Перерыв: 12.00 — 1</w:t>
            </w:r>
            <w:r w:rsidR="00B65531">
              <w:rPr>
                <w:rFonts w:ascii="Times New Roman" w:eastAsia="Times New Roman" w:hAnsi="Times New Roman" w:cs="Times New Roman"/>
              </w:rPr>
              <w:t>3</w:t>
            </w:r>
            <w:r w:rsidRPr="000F49EC">
              <w:rPr>
                <w:rFonts w:ascii="Times New Roman" w:eastAsia="Times New Roman" w:hAnsi="Times New Roman" w:cs="Times New Roman"/>
              </w:rPr>
              <w:t>.</w:t>
            </w:r>
            <w:r w:rsidR="00B65531">
              <w:rPr>
                <w:rFonts w:ascii="Times New Roman" w:eastAsia="Times New Roman" w:hAnsi="Times New Roman" w:cs="Times New Roman"/>
              </w:rPr>
              <w:t>00</w:t>
            </w:r>
          </w:p>
          <w:p w:rsidR="000F49EC" w:rsidRPr="00B55CAB" w:rsidRDefault="00B65531" w:rsidP="000F49EC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>
              <w:t xml:space="preserve">Суббота, </w:t>
            </w:r>
            <w:r w:rsidR="000F49EC" w:rsidRPr="000F49EC"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Pr="00B65531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16"/>
          <w:szCs w:val="16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2607D" w:rsidRPr="00B55CAB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 w:rsidR="007338EF">
        <w:rPr>
          <w:b w:val="0"/>
          <w:sz w:val="24"/>
          <w:szCs w:val="24"/>
        </w:rPr>
        <w:t xml:space="preserve"> </w:t>
      </w:r>
      <w:r w:rsidR="000F49EC">
        <w:rPr>
          <w:b w:val="0"/>
          <w:sz w:val="24"/>
          <w:szCs w:val="24"/>
        </w:rPr>
        <w:t xml:space="preserve">МАУ </w:t>
      </w:r>
      <w:r w:rsidR="00B65531">
        <w:rPr>
          <w:b w:val="0"/>
          <w:sz w:val="24"/>
          <w:szCs w:val="24"/>
        </w:rPr>
        <w:t>ВР «</w:t>
      </w:r>
      <w:r w:rsidRPr="00B55CAB">
        <w:rPr>
          <w:b w:val="0"/>
          <w:sz w:val="24"/>
          <w:szCs w:val="24"/>
        </w:rPr>
        <w:t>МФЦ</w:t>
      </w:r>
      <w:r w:rsidR="00B65531">
        <w:rPr>
          <w:b w:val="0"/>
          <w:sz w:val="24"/>
          <w:szCs w:val="24"/>
        </w:rPr>
        <w:t>»</w:t>
      </w:r>
    </w:p>
    <w:p w:rsidR="00E83FCF" w:rsidRPr="00B65531" w:rsidRDefault="00E83FCF" w:rsidP="00E83FCF">
      <w:pPr>
        <w:pStyle w:val="33"/>
        <w:shd w:val="clear" w:color="auto" w:fill="auto"/>
        <w:spacing w:after="0" w:line="276" w:lineRule="auto"/>
        <w:ind w:firstLine="0"/>
        <w:rPr>
          <w:b w:val="0"/>
          <w:sz w:val="16"/>
          <w:szCs w:val="16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E83FCF" w:rsidP="002300A0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r w:rsidRPr="00B55CAB">
        <w:rPr>
          <w:b w:val="0"/>
          <w:color w:val="auto"/>
          <w:sz w:val="24"/>
          <w:szCs w:val="24"/>
        </w:rPr>
        <w:t xml:space="preserve">Муниципальное автономное учреждение </w:t>
      </w:r>
      <w:r w:rsidR="00B65531">
        <w:rPr>
          <w:b w:val="0"/>
          <w:color w:val="auto"/>
          <w:sz w:val="24"/>
          <w:szCs w:val="24"/>
        </w:rPr>
        <w:t>Волгодонского района</w:t>
      </w:r>
      <w:r w:rsidRPr="00B55CAB">
        <w:rPr>
          <w:b w:val="0"/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услуг», в лице директора </w:t>
      </w:r>
      <w:r w:rsidR="00B65531">
        <w:rPr>
          <w:b w:val="0"/>
          <w:color w:val="auto"/>
          <w:sz w:val="24"/>
          <w:szCs w:val="24"/>
        </w:rPr>
        <w:t>Морозовой С.В.</w:t>
      </w:r>
      <w:r w:rsidRPr="00B55CAB">
        <w:rPr>
          <w:b w:val="0"/>
          <w:sz w:val="24"/>
          <w:szCs w:val="24"/>
        </w:rPr>
        <w:t xml:space="preserve"> действующего на основании Устава</w:t>
      </w:r>
      <w:r w:rsidR="00FB3C88">
        <w:rPr>
          <w:b w:val="0"/>
          <w:sz w:val="24"/>
          <w:szCs w:val="24"/>
        </w:rPr>
        <w:t xml:space="preserve"> </w:t>
      </w:r>
      <w:r w:rsidRPr="00B55CAB">
        <w:rPr>
          <w:b w:val="0"/>
          <w:color w:val="auto"/>
          <w:sz w:val="24"/>
          <w:szCs w:val="24"/>
        </w:rPr>
        <w:t>в качестве Агента оказал</w:t>
      </w:r>
      <w:r w:rsidRPr="00B55CAB">
        <w:rPr>
          <w:b w:val="0"/>
          <w:color w:val="FF0000"/>
          <w:sz w:val="24"/>
          <w:szCs w:val="24"/>
        </w:rPr>
        <w:t xml:space="preserve">, </w:t>
      </w:r>
      <w:r w:rsidRPr="00B55CAB">
        <w:rPr>
          <w:b w:val="0"/>
          <w:color w:val="auto"/>
          <w:sz w:val="24"/>
          <w:szCs w:val="24"/>
        </w:rPr>
        <w:t>а _________________________________________,</w:t>
      </w:r>
      <w:r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Pr="00B55CAB">
        <w:rPr>
          <w:b w:val="0"/>
          <w:sz w:val="24"/>
          <w:szCs w:val="24"/>
        </w:rPr>
        <w:t>:</w:t>
      </w:r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3321"/>
        <w:gridCol w:w="1559"/>
      </w:tblGrid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FB3C88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49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96A40" w:rsidRPr="00B55CAB" w:rsidRDefault="00496A40" w:rsidP="00F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0A0" w:rsidRPr="00B55CAB" w:rsidRDefault="002300A0" w:rsidP="00523C3A">
      <w:pPr>
        <w:pStyle w:val="25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197C43" w:rsidRPr="00B55CAB" w:rsidRDefault="00197C43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AC3C4F" w:rsidRPr="00B55CAB" w:rsidRDefault="00AC3C4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на </w:t>
      </w:r>
      <w:proofErr w:type="spellStart"/>
      <w:r w:rsidRPr="003F6507">
        <w:rPr>
          <w:rFonts w:ascii="Times New Roman" w:eastAsiaTheme="minorEastAsia" w:hAnsi="Times New Roman" w:cs="Times New Roman"/>
          <w:bCs/>
          <w:color w:val="auto"/>
        </w:rPr>
        <w:t>оказаниеплатежных</w:t>
      </w:r>
      <w:proofErr w:type="spellEnd"/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20" w:rsidRDefault="00C77920" w:rsidP="00F6565F">
      <w:r>
        <w:separator/>
      </w:r>
    </w:p>
  </w:endnote>
  <w:endnote w:type="continuationSeparator" w:id="0">
    <w:p w:rsidR="00C77920" w:rsidRDefault="00C77920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20" w:rsidRDefault="00C77920"/>
  </w:footnote>
  <w:footnote w:type="continuationSeparator" w:id="0">
    <w:p w:rsidR="00C77920" w:rsidRDefault="00C779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97313"/>
    <w:rsid w:val="00197C43"/>
    <w:rsid w:val="001B3586"/>
    <w:rsid w:val="001D1686"/>
    <w:rsid w:val="001E02C1"/>
    <w:rsid w:val="001F4855"/>
    <w:rsid w:val="00217CF7"/>
    <w:rsid w:val="002300A0"/>
    <w:rsid w:val="00234B3C"/>
    <w:rsid w:val="0025080C"/>
    <w:rsid w:val="002725A3"/>
    <w:rsid w:val="00275014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713F77"/>
    <w:rsid w:val="00716541"/>
    <w:rsid w:val="0072005F"/>
    <w:rsid w:val="007338EF"/>
    <w:rsid w:val="00787C51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6E24"/>
    <w:rsid w:val="009A5E1D"/>
    <w:rsid w:val="00A2607D"/>
    <w:rsid w:val="00A2627A"/>
    <w:rsid w:val="00A2767D"/>
    <w:rsid w:val="00A57E06"/>
    <w:rsid w:val="00A91FAC"/>
    <w:rsid w:val="00AB223B"/>
    <w:rsid w:val="00AC3C4F"/>
    <w:rsid w:val="00AE085C"/>
    <w:rsid w:val="00B0018F"/>
    <w:rsid w:val="00B26DC6"/>
    <w:rsid w:val="00B47D62"/>
    <w:rsid w:val="00B55CAB"/>
    <w:rsid w:val="00B65531"/>
    <w:rsid w:val="00B6607F"/>
    <w:rsid w:val="00B71525"/>
    <w:rsid w:val="00B82604"/>
    <w:rsid w:val="00BA7785"/>
    <w:rsid w:val="00BD31EB"/>
    <w:rsid w:val="00BF4CE5"/>
    <w:rsid w:val="00C126E1"/>
    <w:rsid w:val="00C24882"/>
    <w:rsid w:val="00C358F0"/>
    <w:rsid w:val="00C36EA4"/>
    <w:rsid w:val="00C46984"/>
    <w:rsid w:val="00C77920"/>
    <w:rsid w:val="00C77C2D"/>
    <w:rsid w:val="00C874E4"/>
    <w:rsid w:val="00C94D48"/>
    <w:rsid w:val="00CB5BC6"/>
    <w:rsid w:val="00D003CC"/>
    <w:rsid w:val="00D03E58"/>
    <w:rsid w:val="00D04F42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F03731"/>
    <w:rsid w:val="00F4306B"/>
    <w:rsid w:val="00F6565F"/>
    <w:rsid w:val="00F704BB"/>
    <w:rsid w:val="00F73CC1"/>
    <w:rsid w:val="00F92BC5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3A91-6459-4F01-944B-A03499AF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boss</cp:lastModifiedBy>
  <cp:revision>6</cp:revision>
  <cp:lastPrinted>2022-03-18T12:41:00Z</cp:lastPrinted>
  <dcterms:created xsi:type="dcterms:W3CDTF">2022-03-18T08:06:00Z</dcterms:created>
  <dcterms:modified xsi:type="dcterms:W3CDTF">2022-10-10T10:29:00Z</dcterms:modified>
</cp:coreProperties>
</file>